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B" w:rsidRPr="00AA1B81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AA1B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B06C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</w:p>
    <w:p w:rsidR="00F8779B" w:rsidRPr="00AA1B81" w:rsidRDefault="00F8779B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AA1B81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444E96" w:rsidRPr="00AA1B81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AA1B81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AA1B81" w:rsidRDefault="00011C50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444E96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B2E48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444E96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AA1B81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(протокол от «</w:t>
      </w:r>
      <w:r w:rsidR="00011C50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011C50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8111D2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B2E48"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AA1B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AA1B81" w:rsidRDefault="00444E96" w:rsidP="00156503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6753B" w:rsidRDefault="0046753B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3282" w:rsidRPr="00AA1B81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AA1B81" w:rsidRDefault="00E47F03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A1B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AA1B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AA1B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AA1B81" w:rsidRDefault="00CA4D11" w:rsidP="0015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753B" w:rsidRDefault="00C5521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b/>
          <w:bCs/>
          <w:sz w:val="20"/>
          <w:szCs w:val="20"/>
        </w:rPr>
      </w:pPr>
      <w:r w:rsidRPr="00AA1B81">
        <w:rPr>
          <w:b/>
          <w:sz w:val="20"/>
          <w:szCs w:val="20"/>
        </w:rPr>
        <w:t xml:space="preserve">Акционерам </w:t>
      </w:r>
      <w:r w:rsidR="0046753B">
        <w:rPr>
          <w:b/>
          <w:bCs/>
          <w:sz w:val="20"/>
          <w:szCs w:val="20"/>
        </w:rPr>
        <w:t>АО «Богучанская ГЭС»:</w:t>
      </w:r>
    </w:p>
    <w:p w:rsidR="00EF3D38" w:rsidRPr="00EF3D38" w:rsidRDefault="00C5521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AA1B81">
        <w:rPr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внеочередном Общем собрании акционеров </w:t>
      </w:r>
      <w:r w:rsidR="0046753B">
        <w:rPr>
          <w:sz w:val="20"/>
          <w:szCs w:val="20"/>
        </w:rPr>
        <w:br/>
      </w:r>
      <w:r w:rsidRPr="00AA1B81">
        <w:rPr>
          <w:sz w:val="20"/>
          <w:szCs w:val="20"/>
        </w:rPr>
        <w:t xml:space="preserve">АО «Богучанская ГЭС» </w:t>
      </w:r>
      <w:r w:rsidR="00FC1A5E">
        <w:rPr>
          <w:sz w:val="20"/>
          <w:szCs w:val="20"/>
        </w:rPr>
        <w:t>29</w:t>
      </w:r>
      <w:r w:rsidR="0046753B">
        <w:rPr>
          <w:sz w:val="20"/>
          <w:szCs w:val="20"/>
        </w:rPr>
        <w:t>.09.</w:t>
      </w:r>
      <w:r w:rsidRPr="00AA1B81">
        <w:rPr>
          <w:sz w:val="20"/>
          <w:szCs w:val="20"/>
        </w:rPr>
        <w:t>20</w:t>
      </w:r>
      <w:r w:rsidR="00083CA2" w:rsidRPr="00AA1B81">
        <w:rPr>
          <w:sz w:val="20"/>
          <w:szCs w:val="20"/>
        </w:rPr>
        <w:t>2</w:t>
      </w:r>
      <w:r w:rsidR="006F2CC2" w:rsidRPr="00AA1B81">
        <w:rPr>
          <w:sz w:val="20"/>
          <w:szCs w:val="20"/>
        </w:rPr>
        <w:t>3</w:t>
      </w:r>
      <w:r w:rsidRPr="00AA1B81">
        <w:rPr>
          <w:sz w:val="20"/>
          <w:szCs w:val="20"/>
        </w:rPr>
        <w:t xml:space="preserve"> по вопросу </w:t>
      </w:r>
      <w:r w:rsidR="00FC1A5E" w:rsidRPr="00FC1A5E">
        <w:rPr>
          <w:sz w:val="20"/>
          <w:szCs w:val="20"/>
        </w:rPr>
        <w:t xml:space="preserve">о </w:t>
      </w:r>
      <w:r w:rsidR="00FC4FB5">
        <w:rPr>
          <w:sz w:val="20"/>
          <w:szCs w:val="20"/>
        </w:rPr>
        <w:t>последующем одобрении</w:t>
      </w:r>
      <w:r w:rsidR="00EF3D38" w:rsidRPr="00EF3D38">
        <w:rPr>
          <w:sz w:val="20"/>
          <w:szCs w:val="20"/>
        </w:rPr>
        <w:t xml:space="preserve"> крупной сделки (взаимосвязанной сделки) – Дополнения № 1 к Договору залога прав (требований) от 15.02.2022 № 110100/1167-ДЗ-3 между Государственной корпорацией развития «ВЭБ</w:t>
      </w:r>
      <w:proofErr w:type="gramStart"/>
      <w:r w:rsidR="00EF3D38" w:rsidRPr="00EF3D38">
        <w:rPr>
          <w:sz w:val="20"/>
          <w:szCs w:val="20"/>
        </w:rPr>
        <w:t>.Р</w:t>
      </w:r>
      <w:proofErr w:type="gramEnd"/>
      <w:r w:rsidR="00EF3D38" w:rsidRPr="00EF3D38">
        <w:rPr>
          <w:sz w:val="20"/>
          <w:szCs w:val="20"/>
        </w:rPr>
        <w:t>Ф» и АО «Богучанская ГЭС».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  <w:u w:val="single"/>
        </w:rPr>
      </w:pPr>
      <w:r w:rsidRPr="00B63587">
        <w:rPr>
          <w:sz w:val="20"/>
          <w:szCs w:val="20"/>
          <w:u w:val="single"/>
        </w:rPr>
        <w:t>Стороны Дополнения: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Залогодержатель или Кредитор – Государственная корпорация развития «ВЭБ</w:t>
      </w:r>
      <w:proofErr w:type="gramStart"/>
      <w:r w:rsidRPr="00B63587">
        <w:rPr>
          <w:sz w:val="20"/>
          <w:szCs w:val="20"/>
        </w:rPr>
        <w:t>.Р</w:t>
      </w:r>
      <w:proofErr w:type="gramEnd"/>
      <w:r w:rsidRPr="00B63587">
        <w:rPr>
          <w:sz w:val="20"/>
          <w:szCs w:val="20"/>
        </w:rPr>
        <w:t>Ф»;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Залогодатель – АО «Богучанская ГЭС»;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Должник/Заемщик - АО «</w:t>
      </w:r>
      <w:proofErr w:type="spellStart"/>
      <w:r w:rsidRPr="00B63587">
        <w:rPr>
          <w:sz w:val="20"/>
          <w:szCs w:val="20"/>
        </w:rPr>
        <w:t>Богучанский</w:t>
      </w:r>
      <w:proofErr w:type="spellEnd"/>
      <w:r w:rsidRPr="00B63587">
        <w:rPr>
          <w:sz w:val="20"/>
          <w:szCs w:val="20"/>
        </w:rPr>
        <w:t xml:space="preserve"> Алюминиевый Завод».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Предмет Дополнения: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  <w:u w:val="single"/>
        </w:rPr>
      </w:pPr>
      <w:r w:rsidRPr="00B63587">
        <w:rPr>
          <w:sz w:val="20"/>
          <w:szCs w:val="20"/>
          <w:u w:val="single"/>
        </w:rPr>
        <w:t>Внесение следующих изменений в Договор: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1. Изложить Термин «Соглашение» Статьи 1.1. Договора залога в следующей редакции: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proofErr w:type="gramStart"/>
      <w:r w:rsidRPr="00B63587">
        <w:rPr>
          <w:sz w:val="20"/>
          <w:szCs w:val="20"/>
        </w:rPr>
        <w:t>««Соглашение» - Кредитное соглашение от 03.12.2010 № 110100/1167 в редакции Дополнения от 09.03.2011 № 1, Дополнения от 04.10.2011 № 2, Дополнения от 11.12.2012 № 3, Дополнения от 28.10.2013 № 4, Дополнения от 18.12.2014 № 5, Дополнения от 20.05.2015 № 6, Дополнения от 18.01.2016 № 7, Дополнения от 01.02.2017 № 8, Дополнения от 19.12.2017 № 9, Дополнения от 27.12.2017 № 10, Дополнения от 29.05.2018 № 11, Дополнения от 20.09.2018 № 12, Дополнения от 24.01.2019</w:t>
      </w:r>
      <w:proofErr w:type="gramEnd"/>
      <w:r w:rsidRPr="00B63587">
        <w:rPr>
          <w:sz w:val="20"/>
          <w:szCs w:val="20"/>
        </w:rPr>
        <w:t xml:space="preserve"> № 13, Дополнения от 19.06.2019 № 14, Дополнения от 19.03.2020 № 15, Дополнения от 09.02.2021 № 16, Дополнения от 19.08.2021 № 17, Дополнения от 17.12.2021 № 18, Дополнения от 23.03.2022 № 19, Дополнения от 20.04.2023 № 20 к нему, </w:t>
      </w:r>
      <w:proofErr w:type="gramStart"/>
      <w:r w:rsidRPr="00B63587">
        <w:rPr>
          <w:sz w:val="20"/>
          <w:szCs w:val="20"/>
        </w:rPr>
        <w:t>заключенное</w:t>
      </w:r>
      <w:proofErr w:type="gramEnd"/>
      <w:r w:rsidRPr="00B63587">
        <w:rPr>
          <w:sz w:val="20"/>
          <w:szCs w:val="20"/>
        </w:rPr>
        <w:t xml:space="preserve"> между Кредитором и Заемщиком в г. Москве».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2. Дополнить пункт 2.3.1.6 статьи 2 Договора текстом в следующей редакции: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 xml:space="preserve">«Заемщик осуществляет погашение Кредита, уплату Процентов, любых иных платежей по Соглашению в российских рублях по курсу, сформировавшемуся на 12:30 </w:t>
      </w:r>
      <w:proofErr w:type="gramStart"/>
      <w:r w:rsidRPr="00B63587">
        <w:rPr>
          <w:sz w:val="20"/>
          <w:szCs w:val="20"/>
        </w:rPr>
        <w:t>МСК</w:t>
      </w:r>
      <w:proofErr w:type="gramEnd"/>
      <w:r w:rsidRPr="00B63587">
        <w:rPr>
          <w:sz w:val="20"/>
          <w:szCs w:val="20"/>
        </w:rPr>
        <w:t xml:space="preserve"> на торгах валютного рынка ПАО Московская биржа (</w:t>
      </w:r>
      <w:proofErr w:type="spellStart"/>
      <w:r w:rsidRPr="00B63587">
        <w:rPr>
          <w:sz w:val="20"/>
          <w:szCs w:val="20"/>
        </w:rPr>
        <w:t>фиксинг</w:t>
      </w:r>
      <w:proofErr w:type="spellEnd"/>
      <w:r w:rsidRPr="00B63587">
        <w:rPr>
          <w:sz w:val="20"/>
          <w:szCs w:val="20"/>
        </w:rPr>
        <w:t xml:space="preserve"> USDFIXME) на дату осуществления Заемщиком платежа и опубликованному на сайте ПАО Московская биржа сети Интернет (раздел </w:t>
      </w:r>
      <w:proofErr w:type="spellStart"/>
      <w:r w:rsidRPr="00B63587">
        <w:rPr>
          <w:sz w:val="20"/>
          <w:szCs w:val="20"/>
        </w:rPr>
        <w:t>Фиксинги</w:t>
      </w:r>
      <w:proofErr w:type="spellEnd"/>
      <w:r w:rsidRPr="00B63587">
        <w:rPr>
          <w:sz w:val="20"/>
          <w:szCs w:val="20"/>
        </w:rPr>
        <w:t xml:space="preserve"> Московской биржи).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proofErr w:type="gramStart"/>
      <w:r w:rsidRPr="00B63587">
        <w:rPr>
          <w:sz w:val="20"/>
          <w:szCs w:val="20"/>
        </w:rPr>
        <w:t xml:space="preserve">В случае отсутствия опубликованного курса </w:t>
      </w:r>
      <w:proofErr w:type="spellStart"/>
      <w:r w:rsidRPr="00B63587">
        <w:rPr>
          <w:sz w:val="20"/>
          <w:szCs w:val="20"/>
        </w:rPr>
        <w:t>фиксинга</w:t>
      </w:r>
      <w:proofErr w:type="spellEnd"/>
      <w:r w:rsidRPr="00B63587">
        <w:rPr>
          <w:sz w:val="20"/>
          <w:szCs w:val="20"/>
        </w:rPr>
        <w:t xml:space="preserve"> Московской биржи USDFIXME по причине приостановки торгов или другим причинам на период не более 14 дней погашение Кредита, уплату Процентов, любых иных платежей по Соглашению осуществляется Заемщиком в рублях по официальному курсу доллара США к российскому рублю, установленному Банком России, действующему на дату осуществления Заемщика платежа.</w:t>
      </w:r>
      <w:proofErr w:type="gramEnd"/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proofErr w:type="gramStart"/>
      <w:r w:rsidRPr="00B63587">
        <w:rPr>
          <w:sz w:val="20"/>
          <w:szCs w:val="20"/>
        </w:rPr>
        <w:t xml:space="preserve">В случае отсутствия опубликованного курса </w:t>
      </w:r>
      <w:proofErr w:type="spellStart"/>
      <w:r w:rsidRPr="00B63587">
        <w:rPr>
          <w:sz w:val="20"/>
          <w:szCs w:val="20"/>
        </w:rPr>
        <w:t>фиксинга</w:t>
      </w:r>
      <w:proofErr w:type="spellEnd"/>
      <w:r w:rsidRPr="00B63587">
        <w:rPr>
          <w:sz w:val="20"/>
          <w:szCs w:val="20"/>
        </w:rPr>
        <w:t xml:space="preserve"> Московской биржи USDFIXME по причине приостановки торгов или другим причинам на период более 14 дней оплата/погашение Комиссий и/или Кредита, и/или Процентов осуществляется Заемщиком в рублях по курсу Кредитора, установленному Кредитором на основании применимых в дату осуществления платежа котировок и индикаторов валютного рынка».</w:t>
      </w:r>
      <w:proofErr w:type="gramEnd"/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3. Изложить пункт 2.7 Статьи 2 Договора в следующей редакции: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 xml:space="preserve">«2.7. </w:t>
      </w:r>
      <w:proofErr w:type="gramStart"/>
      <w:r w:rsidRPr="00B63587">
        <w:rPr>
          <w:sz w:val="20"/>
          <w:szCs w:val="20"/>
        </w:rPr>
        <w:t>Для целей статей 340 и 345 Гражданского кодекса Российской Федерации Стороны соглашаются, что стоимость Предмета залога составляет 50 335 578 336,88 (Пятьдесят миллиардов триста тридцать пять миллионов</w:t>
      </w:r>
      <w:proofErr w:type="gramEnd"/>
      <w:r w:rsidRPr="00B63587">
        <w:rPr>
          <w:sz w:val="20"/>
          <w:szCs w:val="20"/>
        </w:rPr>
        <w:t xml:space="preserve"> пятьсот семьдесят восемь тысяч триста тридцать шесть 88/100) рублей.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  <w:u w:val="single"/>
        </w:rPr>
      </w:pPr>
      <w:r w:rsidRPr="00B63587">
        <w:rPr>
          <w:sz w:val="20"/>
          <w:szCs w:val="20"/>
          <w:u w:val="single"/>
        </w:rPr>
        <w:t>Цена Договора (с учетом Дополнения):</w:t>
      </w:r>
    </w:p>
    <w:p w:rsidR="00603402" w:rsidRPr="00B63587" w:rsidRDefault="00603402" w:rsidP="0046753B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0"/>
          <w:szCs w:val="20"/>
        </w:rPr>
      </w:pPr>
      <w:r w:rsidRPr="00B63587">
        <w:rPr>
          <w:sz w:val="20"/>
          <w:szCs w:val="20"/>
        </w:rPr>
        <w:t>Стоимость Предмета залога составляет 50 335 578 336,88 (Пятьдесят миллиардов триста тридцать пять миллионов пятьсот семьдесят восемь тысяч триста тридцать шесть 88/100) рублей.</w:t>
      </w:r>
    </w:p>
    <w:p w:rsidR="0046753B" w:rsidRDefault="00156503" w:rsidP="0046753B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A1B81">
        <w:rPr>
          <w:rFonts w:ascii="Times New Roman" w:hAnsi="Times New Roman" w:cs="Times New Roman"/>
          <w:sz w:val="20"/>
          <w:szCs w:val="20"/>
        </w:rPr>
        <w:tab/>
      </w:r>
    </w:p>
    <w:p w:rsidR="00156503" w:rsidRPr="00AA1B81" w:rsidRDefault="00156503" w:rsidP="0046753B">
      <w:pPr>
        <w:shd w:val="clear" w:color="auto" w:fill="FFFFFF"/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A1B81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</w:t>
      </w:r>
      <w:r w:rsidR="00FC1A5E">
        <w:rPr>
          <w:rFonts w:ascii="Times New Roman" w:hAnsi="Times New Roman" w:cs="Times New Roman"/>
          <w:sz w:val="20"/>
          <w:szCs w:val="20"/>
        </w:rPr>
        <w:t>4</w:t>
      </w:r>
      <w:r w:rsidRPr="00AA1B81">
        <w:rPr>
          <w:rFonts w:ascii="Times New Roman" w:hAnsi="Times New Roman" w:cs="Times New Roman"/>
          <w:sz w:val="20"/>
          <w:szCs w:val="20"/>
        </w:rPr>
        <w:t xml:space="preserve">: </w:t>
      </w:r>
      <w:r w:rsidR="00BE2220" w:rsidRPr="00AA1B81">
        <w:rPr>
          <w:rFonts w:ascii="Times New Roman" w:hAnsi="Times New Roman" w:cs="Times New Roman"/>
          <w:sz w:val="20"/>
          <w:szCs w:val="20"/>
        </w:rPr>
        <w:t>79 606 782</w:t>
      </w:r>
      <w:r w:rsidRPr="00AA1B81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156503" w:rsidRPr="00AA1B81" w:rsidRDefault="00156503" w:rsidP="0046753B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1B81">
        <w:rPr>
          <w:rFonts w:ascii="Times New Roman" w:hAnsi="Times New Roman" w:cs="Times New Roman"/>
          <w:sz w:val="20"/>
          <w:szCs w:val="20"/>
        </w:rPr>
        <w:t xml:space="preserve">Цена с учетом взаимосвязи с Договором </w:t>
      </w:r>
      <w:r w:rsidR="00BE2220" w:rsidRPr="00AA1B81">
        <w:rPr>
          <w:rFonts w:ascii="Times New Roman" w:hAnsi="Times New Roman" w:cs="Times New Roman"/>
          <w:sz w:val="20"/>
          <w:szCs w:val="20"/>
        </w:rPr>
        <w:t>займа о</w:t>
      </w:r>
      <w:r w:rsidRPr="00AA1B81">
        <w:rPr>
          <w:rFonts w:ascii="Times New Roman" w:hAnsi="Times New Roman" w:cs="Times New Roman"/>
          <w:sz w:val="20"/>
          <w:szCs w:val="20"/>
        </w:rPr>
        <w:t xml:space="preserve">т </w:t>
      </w:r>
      <w:r w:rsidR="00BE2220" w:rsidRPr="00AA1B81">
        <w:rPr>
          <w:rFonts w:ascii="Times New Roman" w:hAnsi="Times New Roman" w:cs="Times New Roman"/>
          <w:sz w:val="20"/>
          <w:szCs w:val="20"/>
        </w:rPr>
        <w:t xml:space="preserve">16.03.2015 </w:t>
      </w:r>
      <w:r w:rsidR="0046753B" w:rsidRPr="00AA1B81">
        <w:rPr>
          <w:rFonts w:ascii="Times New Roman" w:hAnsi="Times New Roman" w:cs="Times New Roman"/>
          <w:sz w:val="20"/>
          <w:szCs w:val="20"/>
        </w:rPr>
        <w:t>№</w:t>
      </w:r>
      <w:r w:rsidR="0046753B">
        <w:rPr>
          <w:rFonts w:ascii="Times New Roman" w:hAnsi="Times New Roman" w:cs="Times New Roman"/>
          <w:sz w:val="20"/>
          <w:szCs w:val="20"/>
        </w:rPr>
        <w:t xml:space="preserve"> </w:t>
      </w:r>
      <w:r w:rsidR="0046753B" w:rsidRPr="00AA1B81">
        <w:rPr>
          <w:rFonts w:ascii="Times New Roman" w:hAnsi="Times New Roman" w:cs="Times New Roman"/>
          <w:sz w:val="20"/>
          <w:szCs w:val="20"/>
        </w:rPr>
        <w:t>00097-15-ФД</w:t>
      </w:r>
      <w:r w:rsidRPr="00AA1B81">
        <w:rPr>
          <w:rFonts w:ascii="Times New Roman" w:hAnsi="Times New Roman" w:cs="Times New Roman"/>
          <w:sz w:val="20"/>
          <w:szCs w:val="20"/>
        </w:rPr>
        <w:t xml:space="preserve">: </w:t>
      </w:r>
      <w:r w:rsidR="009F7BDD" w:rsidRPr="00AA1B81">
        <w:rPr>
          <w:rFonts w:ascii="Times New Roman" w:hAnsi="Times New Roman" w:cs="Times New Roman"/>
          <w:sz w:val="20"/>
          <w:szCs w:val="20"/>
        </w:rPr>
        <w:t xml:space="preserve">50 335 578 336,88 </w:t>
      </w:r>
      <w:r w:rsidR="008B3C2E" w:rsidRPr="00AA1B81">
        <w:rPr>
          <w:rFonts w:ascii="Times New Roman" w:hAnsi="Times New Roman" w:cs="Times New Roman"/>
          <w:sz w:val="20"/>
          <w:szCs w:val="20"/>
        </w:rPr>
        <w:t>руб.</w:t>
      </w:r>
      <w:r w:rsidRPr="00AA1B81">
        <w:rPr>
          <w:rFonts w:ascii="Times New Roman" w:hAnsi="Times New Roman" w:cs="Times New Roman"/>
          <w:sz w:val="20"/>
          <w:szCs w:val="20"/>
        </w:rPr>
        <w:t xml:space="preserve">, </w:t>
      </w:r>
      <w:r w:rsidR="0046753B">
        <w:rPr>
          <w:rFonts w:ascii="Times New Roman" w:hAnsi="Times New Roman" w:cs="Times New Roman"/>
          <w:sz w:val="20"/>
          <w:szCs w:val="20"/>
        </w:rPr>
        <w:br/>
      </w:r>
      <w:r w:rsidRPr="00AA1B81">
        <w:rPr>
          <w:rFonts w:ascii="Times New Roman" w:hAnsi="Times New Roman" w:cs="Times New Roman"/>
          <w:sz w:val="20"/>
          <w:szCs w:val="20"/>
        </w:rPr>
        <w:t xml:space="preserve">что составляет </w:t>
      </w:r>
      <w:r w:rsidR="009F7BDD" w:rsidRPr="0046753B">
        <w:rPr>
          <w:rFonts w:ascii="Times New Roman" w:hAnsi="Times New Roman" w:cs="Times New Roman"/>
          <w:sz w:val="20"/>
          <w:szCs w:val="20"/>
        </w:rPr>
        <w:t>63,23</w:t>
      </w:r>
      <w:r w:rsidR="00FC7D22" w:rsidRPr="00AA1B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1B81">
        <w:rPr>
          <w:rFonts w:ascii="Times New Roman" w:hAnsi="Times New Roman" w:cs="Times New Roman"/>
          <w:sz w:val="20"/>
          <w:szCs w:val="20"/>
        </w:rPr>
        <w:t xml:space="preserve">% от балансовой стоимости активов Общества.   </w:t>
      </w:r>
    </w:p>
    <w:p w:rsidR="00156503" w:rsidRPr="00AA1B81" w:rsidRDefault="00156503" w:rsidP="0046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5212" w:rsidRPr="00AA1B81" w:rsidRDefault="00C55212" w:rsidP="0046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B81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5A3A41" w:rsidRPr="00AA1B81" w:rsidRDefault="005A3A41" w:rsidP="004675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1B81">
        <w:rPr>
          <w:rFonts w:ascii="Times New Roman" w:hAnsi="Times New Roman"/>
          <w:sz w:val="20"/>
          <w:szCs w:val="20"/>
        </w:rPr>
        <w:t>Между Государственная корпорация развития «ВЭБ</w:t>
      </w:r>
      <w:proofErr w:type="gramStart"/>
      <w:r w:rsidRPr="00AA1B81">
        <w:rPr>
          <w:rFonts w:ascii="Times New Roman" w:hAnsi="Times New Roman"/>
          <w:sz w:val="20"/>
          <w:szCs w:val="20"/>
        </w:rPr>
        <w:t>.Р</w:t>
      </w:r>
      <w:proofErr w:type="gramEnd"/>
      <w:r w:rsidRPr="00AA1B81">
        <w:rPr>
          <w:rFonts w:ascii="Times New Roman" w:hAnsi="Times New Roman"/>
          <w:sz w:val="20"/>
          <w:szCs w:val="20"/>
        </w:rPr>
        <w:t>Ф»</w:t>
      </w:r>
      <w:r w:rsidRPr="00AA1B81">
        <w:rPr>
          <w:rFonts w:ascii="Times New Roman" w:hAnsi="Times New Roman"/>
          <w:sz w:val="20"/>
          <w:szCs w:val="20"/>
          <w:lang w:eastAsia="ru-RU"/>
        </w:rPr>
        <w:t xml:space="preserve"> (далее - ВЭБ) и АО «</w:t>
      </w:r>
      <w:proofErr w:type="spellStart"/>
      <w:r w:rsidRPr="00AA1B81">
        <w:rPr>
          <w:rFonts w:ascii="Times New Roman" w:hAnsi="Times New Roman"/>
          <w:sz w:val="20"/>
          <w:szCs w:val="20"/>
          <w:lang w:eastAsia="ru-RU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  <w:lang w:eastAsia="ru-RU"/>
        </w:rPr>
        <w:t>» было заключено Дополнение №</w:t>
      </w:r>
      <w:r w:rsidR="0046753B">
        <w:rPr>
          <w:rFonts w:ascii="Times New Roman" w:hAnsi="Times New Roman"/>
          <w:sz w:val="20"/>
          <w:szCs w:val="20"/>
          <w:lang w:eastAsia="ru-RU"/>
        </w:rPr>
        <w:t xml:space="preserve"> 18 к К</w:t>
      </w:r>
      <w:r w:rsidRPr="00AA1B81">
        <w:rPr>
          <w:rFonts w:ascii="Times New Roman" w:hAnsi="Times New Roman"/>
          <w:sz w:val="20"/>
          <w:szCs w:val="20"/>
          <w:lang w:eastAsia="ru-RU"/>
        </w:rPr>
        <w:t>редитному соглашению от 03.12.2010 № 110100/1167, которое предусматривает дополнительные обязательства АО «</w:t>
      </w:r>
      <w:proofErr w:type="spellStart"/>
      <w:r w:rsidRPr="00AA1B81">
        <w:rPr>
          <w:rFonts w:ascii="Times New Roman" w:hAnsi="Times New Roman"/>
          <w:sz w:val="20"/>
          <w:szCs w:val="20"/>
          <w:lang w:eastAsia="ru-RU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  <w:lang w:eastAsia="ru-RU"/>
        </w:rPr>
        <w:t>»/Заемщика, в том числе заключение АО «Богучанская ГЭС» договора залога прав (требований) по всем предоставленным АО «</w:t>
      </w:r>
      <w:proofErr w:type="spellStart"/>
      <w:r w:rsidRPr="00AA1B81">
        <w:rPr>
          <w:rFonts w:ascii="Times New Roman" w:hAnsi="Times New Roman"/>
          <w:sz w:val="20"/>
          <w:szCs w:val="20"/>
          <w:lang w:eastAsia="ru-RU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  <w:lang w:eastAsia="ru-RU"/>
        </w:rPr>
        <w:t>» займам. По договору залога в обеспечение исполнения обязательств АО «Богучанская ГЭС» передает ВЭБ в Залог права требования дебиторской задолженности на всю сумму займа, предоставленного АО «</w:t>
      </w:r>
      <w:proofErr w:type="spellStart"/>
      <w:r w:rsidRPr="00AA1B81">
        <w:rPr>
          <w:rFonts w:ascii="Times New Roman" w:hAnsi="Times New Roman"/>
          <w:sz w:val="20"/>
          <w:szCs w:val="20"/>
          <w:lang w:eastAsia="ru-RU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  <w:lang w:eastAsia="ru-RU"/>
        </w:rPr>
        <w:t>» по договору от 16.03.2015 № 00097-15-ФД.</w:t>
      </w:r>
    </w:p>
    <w:p w:rsidR="0046753B" w:rsidRDefault="0046753B" w:rsidP="004675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7BDD" w:rsidRPr="00AA1B81" w:rsidRDefault="009F7BDD" w:rsidP="004675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1B81">
        <w:rPr>
          <w:rFonts w:ascii="Times New Roman" w:hAnsi="Times New Roman"/>
          <w:sz w:val="20"/>
          <w:szCs w:val="20"/>
          <w:lang w:eastAsia="ru-RU"/>
        </w:rPr>
        <w:lastRenderedPageBreak/>
        <w:t>18</w:t>
      </w:r>
      <w:r w:rsidR="0046753B">
        <w:rPr>
          <w:rFonts w:ascii="Times New Roman" w:hAnsi="Times New Roman"/>
          <w:sz w:val="20"/>
          <w:szCs w:val="20"/>
          <w:lang w:eastAsia="ru-RU"/>
        </w:rPr>
        <w:t>.05.</w:t>
      </w:r>
      <w:r w:rsidRPr="00AA1B81">
        <w:rPr>
          <w:rFonts w:ascii="Times New Roman" w:hAnsi="Times New Roman"/>
          <w:sz w:val="20"/>
          <w:szCs w:val="20"/>
          <w:lang w:eastAsia="ru-RU"/>
        </w:rPr>
        <w:t xml:space="preserve">2023 заключено дополнительное соглашение № 21 к Договору займа от 16.03.2015 </w:t>
      </w:r>
      <w:r w:rsidR="0046753B" w:rsidRPr="00AA1B81">
        <w:rPr>
          <w:rFonts w:ascii="Times New Roman" w:hAnsi="Times New Roman"/>
          <w:sz w:val="20"/>
          <w:szCs w:val="20"/>
          <w:lang w:eastAsia="ru-RU"/>
        </w:rPr>
        <w:t xml:space="preserve">№ 00097-15-ФД </w:t>
      </w:r>
      <w:r w:rsidRPr="00AA1B81">
        <w:rPr>
          <w:rFonts w:ascii="Times New Roman" w:hAnsi="Times New Roman"/>
          <w:sz w:val="20"/>
          <w:szCs w:val="20"/>
          <w:lang w:eastAsia="ru-RU"/>
        </w:rPr>
        <w:t>с увеличением суммы займа до 50 335 578 336 (Пятьдесят миллиардов триста тридцать пять миллионов пятьсот семьдесят восемь тысяч триста тридцать шесть</w:t>
      </w:r>
      <w:r w:rsidR="0046753B">
        <w:rPr>
          <w:rFonts w:ascii="Times New Roman" w:hAnsi="Times New Roman"/>
          <w:sz w:val="20"/>
          <w:szCs w:val="20"/>
          <w:lang w:eastAsia="ru-RU"/>
        </w:rPr>
        <w:t>) рублей 88 копеек</w:t>
      </w:r>
      <w:r w:rsidRPr="00AA1B81">
        <w:rPr>
          <w:rFonts w:ascii="Times New Roman" w:hAnsi="Times New Roman"/>
          <w:sz w:val="20"/>
          <w:szCs w:val="20"/>
          <w:lang w:eastAsia="ru-RU"/>
        </w:rPr>
        <w:t>, что увеличивает стоимость Залога, указанн</w:t>
      </w:r>
      <w:r w:rsidR="006F2CC2" w:rsidRPr="00AA1B81">
        <w:rPr>
          <w:rFonts w:ascii="Times New Roman" w:hAnsi="Times New Roman"/>
          <w:sz w:val="20"/>
          <w:szCs w:val="20"/>
          <w:lang w:eastAsia="ru-RU"/>
        </w:rPr>
        <w:t>ую</w:t>
      </w:r>
      <w:r w:rsidRPr="00AA1B81">
        <w:rPr>
          <w:rFonts w:ascii="Times New Roman" w:hAnsi="Times New Roman"/>
          <w:sz w:val="20"/>
          <w:szCs w:val="20"/>
          <w:lang w:eastAsia="ru-RU"/>
        </w:rPr>
        <w:t xml:space="preserve"> в п.</w:t>
      </w:r>
      <w:r w:rsidR="0046753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A1B81">
        <w:rPr>
          <w:rFonts w:ascii="Times New Roman" w:hAnsi="Times New Roman"/>
          <w:sz w:val="20"/>
          <w:szCs w:val="20"/>
          <w:lang w:eastAsia="ru-RU"/>
        </w:rPr>
        <w:t>2.7.</w:t>
      </w:r>
      <w:r w:rsidR="006F2CC2" w:rsidRPr="00AA1B81">
        <w:rPr>
          <w:rFonts w:ascii="Times New Roman" w:hAnsi="Times New Roman"/>
          <w:sz w:val="20"/>
          <w:szCs w:val="20"/>
          <w:lang w:eastAsia="ru-RU"/>
        </w:rPr>
        <w:t xml:space="preserve"> Договора залога прав (требований).</w:t>
      </w:r>
      <w:r w:rsidRPr="00AA1B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14A8A" w:rsidRDefault="00214A8A" w:rsidP="00467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AA1B81" w:rsidRDefault="00C55212" w:rsidP="0046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B81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5A3A41" w:rsidRPr="00AA1B81" w:rsidRDefault="005A3A41" w:rsidP="00467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A1B81">
        <w:rPr>
          <w:rFonts w:ascii="Times New Roman" w:hAnsi="Times New Roman"/>
          <w:color w:val="000000"/>
          <w:sz w:val="20"/>
          <w:szCs w:val="20"/>
        </w:rPr>
        <w:t xml:space="preserve">Риск реализации Договора </w:t>
      </w:r>
      <w:r w:rsidRPr="00AA1B81">
        <w:rPr>
          <w:rFonts w:ascii="Times New Roman" w:hAnsi="Times New Roman"/>
          <w:sz w:val="20"/>
          <w:szCs w:val="20"/>
        </w:rPr>
        <w:t xml:space="preserve">залога прав (требований) </w:t>
      </w:r>
      <w:r w:rsidR="0046753B" w:rsidRPr="0046753B">
        <w:rPr>
          <w:rFonts w:ascii="Times New Roman" w:hAnsi="Times New Roman"/>
          <w:sz w:val="20"/>
          <w:szCs w:val="20"/>
        </w:rPr>
        <w:t xml:space="preserve">от 15.02.2022 </w:t>
      </w:r>
      <w:r w:rsidRPr="00AA1B81">
        <w:rPr>
          <w:rFonts w:ascii="Times New Roman" w:hAnsi="Times New Roman"/>
          <w:sz w:val="20"/>
          <w:szCs w:val="20"/>
        </w:rPr>
        <w:t>№ 110100/1167-ДЗ-3</w:t>
      </w:r>
      <w:r w:rsidRPr="0046753B">
        <w:rPr>
          <w:rFonts w:ascii="Times New Roman" w:hAnsi="Times New Roman"/>
          <w:sz w:val="20"/>
          <w:szCs w:val="20"/>
        </w:rPr>
        <w:t xml:space="preserve"> в результате неисполнения АО «</w:t>
      </w:r>
      <w:proofErr w:type="spellStart"/>
      <w:r w:rsidRPr="0046753B">
        <w:rPr>
          <w:rFonts w:ascii="Times New Roman" w:hAnsi="Times New Roman"/>
          <w:sz w:val="20"/>
          <w:szCs w:val="20"/>
        </w:rPr>
        <w:t>БоАЗ</w:t>
      </w:r>
      <w:proofErr w:type="spellEnd"/>
      <w:r w:rsidRPr="0046753B">
        <w:rPr>
          <w:rFonts w:ascii="Times New Roman" w:hAnsi="Times New Roman"/>
          <w:sz w:val="20"/>
          <w:szCs w:val="20"/>
        </w:rPr>
        <w:t>» обязательств перед ВЭБ</w:t>
      </w:r>
      <w:proofErr w:type="gramStart"/>
      <w:r w:rsidRPr="0046753B">
        <w:rPr>
          <w:rFonts w:ascii="Times New Roman" w:hAnsi="Times New Roman"/>
          <w:sz w:val="20"/>
          <w:szCs w:val="20"/>
        </w:rPr>
        <w:t>.Р</w:t>
      </w:r>
      <w:proofErr w:type="gramEnd"/>
      <w:r w:rsidRPr="0046753B">
        <w:rPr>
          <w:rFonts w:ascii="Times New Roman" w:hAnsi="Times New Roman"/>
          <w:sz w:val="20"/>
          <w:szCs w:val="20"/>
        </w:rPr>
        <w:t>Ф по Кредитному соглашению от 03</w:t>
      </w:r>
      <w:r w:rsidR="0046753B">
        <w:rPr>
          <w:rFonts w:ascii="Times New Roman" w:hAnsi="Times New Roman"/>
          <w:sz w:val="20"/>
          <w:szCs w:val="20"/>
        </w:rPr>
        <w:t>.12.</w:t>
      </w:r>
      <w:r w:rsidRPr="0046753B">
        <w:rPr>
          <w:rFonts w:ascii="Times New Roman" w:hAnsi="Times New Roman"/>
          <w:sz w:val="20"/>
          <w:szCs w:val="20"/>
        </w:rPr>
        <w:t>2010</w:t>
      </w:r>
      <w:r w:rsidR="00B63587" w:rsidRPr="0046753B">
        <w:rPr>
          <w:rFonts w:ascii="Times New Roman" w:hAnsi="Times New Roman"/>
          <w:sz w:val="20"/>
          <w:szCs w:val="20"/>
        </w:rPr>
        <w:t xml:space="preserve"> </w:t>
      </w:r>
      <w:r w:rsidRPr="0046753B">
        <w:rPr>
          <w:rFonts w:ascii="Times New Roman" w:hAnsi="Times New Roman"/>
          <w:sz w:val="20"/>
          <w:szCs w:val="20"/>
        </w:rPr>
        <w:t>№ 110100/1167. ВЭБ в случае неисполнения или ненадлежащего исполнения</w:t>
      </w:r>
      <w:r w:rsidRPr="00AA1B81">
        <w:rPr>
          <w:rFonts w:ascii="Times New Roman" w:hAnsi="Times New Roman"/>
          <w:color w:val="000000"/>
          <w:sz w:val="20"/>
          <w:szCs w:val="20"/>
        </w:rPr>
        <w:t xml:space="preserve"> обязательств АО «</w:t>
      </w:r>
      <w:proofErr w:type="spellStart"/>
      <w:r w:rsidRPr="00AA1B81">
        <w:rPr>
          <w:rFonts w:ascii="Times New Roman" w:hAnsi="Times New Roman"/>
          <w:color w:val="000000"/>
          <w:sz w:val="20"/>
          <w:szCs w:val="20"/>
        </w:rPr>
        <w:t>БоАЗ</w:t>
      </w:r>
      <w:proofErr w:type="spellEnd"/>
      <w:r w:rsidRPr="00AA1B81">
        <w:rPr>
          <w:rFonts w:ascii="Times New Roman" w:hAnsi="Times New Roman"/>
          <w:color w:val="000000"/>
          <w:sz w:val="20"/>
          <w:szCs w:val="20"/>
        </w:rPr>
        <w:t>» по Кредитному соглашению получает право удовлетворения из стоимости Предмета залога преимущественно перед другими кредиторами Залогодателя.</w:t>
      </w:r>
    </w:p>
    <w:p w:rsidR="00C55212" w:rsidRPr="00AA1B81" w:rsidRDefault="00C55212" w:rsidP="00467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55212" w:rsidRPr="00AA1B81" w:rsidRDefault="00C55212" w:rsidP="00467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B81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5A3A41" w:rsidRDefault="005A3A41" w:rsidP="0046753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AA1B81">
        <w:rPr>
          <w:rFonts w:ascii="Times New Roman" w:hAnsi="Times New Roman"/>
          <w:sz w:val="20"/>
          <w:szCs w:val="20"/>
        </w:rPr>
        <w:t>Совет директоров, с учетом требований, предъявляемых ВЭБ к АО «</w:t>
      </w:r>
      <w:proofErr w:type="spellStart"/>
      <w:r w:rsidRPr="00AA1B81">
        <w:rPr>
          <w:rFonts w:ascii="Times New Roman" w:hAnsi="Times New Roman"/>
          <w:sz w:val="20"/>
          <w:szCs w:val="20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</w:rPr>
        <w:t>» для исполнения условий Кредитного соглашения и во избежание рисков наступления ответственности Общества по договору Поручительства, заключённому между ВЭБ и АО «Богучанская ГЭС» в обеспечение обязательств АО «</w:t>
      </w:r>
      <w:proofErr w:type="spellStart"/>
      <w:r w:rsidRPr="00AA1B81">
        <w:rPr>
          <w:rFonts w:ascii="Times New Roman" w:hAnsi="Times New Roman"/>
          <w:sz w:val="20"/>
          <w:szCs w:val="20"/>
        </w:rPr>
        <w:t>БоАЗ</w:t>
      </w:r>
      <w:proofErr w:type="spellEnd"/>
      <w:r w:rsidRPr="00AA1B81">
        <w:rPr>
          <w:rFonts w:ascii="Times New Roman" w:hAnsi="Times New Roman"/>
          <w:sz w:val="20"/>
          <w:szCs w:val="20"/>
        </w:rPr>
        <w:t>» полагает целесообразным заключение крупной сделки на условиях, указанных в бюллетене (формулировке решения) для голосования на внеочередном Обще</w:t>
      </w:r>
      <w:r w:rsidR="0046753B">
        <w:rPr>
          <w:rFonts w:ascii="Times New Roman" w:hAnsi="Times New Roman"/>
          <w:sz w:val="20"/>
          <w:szCs w:val="20"/>
        </w:rPr>
        <w:t xml:space="preserve">м собрании акционеров Общества </w:t>
      </w:r>
      <w:r w:rsidR="003C6403">
        <w:rPr>
          <w:rFonts w:ascii="Times New Roman" w:hAnsi="Times New Roman"/>
          <w:sz w:val="20"/>
          <w:szCs w:val="20"/>
        </w:rPr>
        <w:t>29</w:t>
      </w:r>
      <w:r w:rsidR="0046753B">
        <w:rPr>
          <w:rFonts w:ascii="Times New Roman" w:hAnsi="Times New Roman"/>
          <w:sz w:val="20"/>
          <w:szCs w:val="20"/>
        </w:rPr>
        <w:t>.09.</w:t>
      </w:r>
      <w:r w:rsidRPr="00AA1B81">
        <w:rPr>
          <w:rFonts w:ascii="Times New Roman" w:hAnsi="Times New Roman"/>
          <w:sz w:val="20"/>
          <w:szCs w:val="20"/>
        </w:rPr>
        <w:t>202</w:t>
      </w:r>
      <w:r w:rsidR="006F2CC2" w:rsidRPr="00AA1B81">
        <w:rPr>
          <w:rFonts w:ascii="Times New Roman" w:hAnsi="Times New Roman"/>
          <w:sz w:val="20"/>
          <w:szCs w:val="20"/>
        </w:rPr>
        <w:t>3</w:t>
      </w:r>
      <w:r w:rsidRPr="00AA1B81">
        <w:rPr>
          <w:rFonts w:ascii="Times New Roman" w:hAnsi="Times New Roman"/>
          <w:sz w:val="20"/>
          <w:szCs w:val="20"/>
        </w:rPr>
        <w:t>, и рекомендует</w:t>
      </w:r>
      <w:proofErr w:type="gramEnd"/>
      <w:r w:rsidRPr="00AA1B81">
        <w:rPr>
          <w:rFonts w:ascii="Times New Roman" w:hAnsi="Times New Roman"/>
          <w:sz w:val="20"/>
          <w:szCs w:val="20"/>
        </w:rPr>
        <w:t xml:space="preserve"> акционерам Общества на внеочередном Общем собрании акционеров Общества проголосовать «ЗА» по вопросу о </w:t>
      </w:r>
      <w:r w:rsidR="00FC4FB5">
        <w:rPr>
          <w:rFonts w:ascii="Times New Roman" w:hAnsi="Times New Roman"/>
          <w:sz w:val="20"/>
          <w:szCs w:val="20"/>
        </w:rPr>
        <w:t>последующем одобрении</w:t>
      </w:r>
      <w:r w:rsidRPr="00AA1B81">
        <w:rPr>
          <w:rFonts w:ascii="Times New Roman" w:hAnsi="Times New Roman"/>
          <w:sz w:val="20"/>
          <w:szCs w:val="20"/>
        </w:rPr>
        <w:t xml:space="preserve"> сделки.</w:t>
      </w:r>
    </w:p>
    <w:sectPr w:rsidR="005A3A41" w:rsidSect="00982D1D">
      <w:pgSz w:w="11906" w:h="16838"/>
      <w:pgMar w:top="567" w:right="707" w:bottom="567" w:left="1276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06" w:rsidRDefault="00EE5606" w:rsidP="00B34F3C">
      <w:pPr>
        <w:spacing w:after="0" w:line="240" w:lineRule="auto"/>
      </w:pPr>
      <w:r>
        <w:separator/>
      </w:r>
    </w:p>
  </w:endnote>
  <w:endnote w:type="continuationSeparator" w:id="0">
    <w:p w:rsidR="00EE5606" w:rsidRDefault="00EE5606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06" w:rsidRDefault="00EE5606" w:rsidP="00B34F3C">
      <w:pPr>
        <w:spacing w:after="0" w:line="240" w:lineRule="auto"/>
      </w:pPr>
      <w:r>
        <w:separator/>
      </w:r>
    </w:p>
  </w:footnote>
  <w:footnote w:type="continuationSeparator" w:id="0">
    <w:p w:rsidR="00EE5606" w:rsidRDefault="00EE5606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E3043"/>
    <w:multiLevelType w:val="multilevel"/>
    <w:tmpl w:val="91FA8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02"/>
        </w:tabs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56"/>
        </w:tabs>
        <w:ind w:left="-1056" w:hanging="1800"/>
      </w:pPr>
      <w:rPr>
        <w:rFonts w:hint="default"/>
      </w:rPr>
    </w:lvl>
  </w:abstractNum>
  <w:abstractNum w:abstractNumId="2">
    <w:nsid w:val="356A5FCE"/>
    <w:multiLevelType w:val="multilevel"/>
    <w:tmpl w:val="582636AC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501034F6"/>
    <w:multiLevelType w:val="hybridMultilevel"/>
    <w:tmpl w:val="6878464C"/>
    <w:lvl w:ilvl="0" w:tplc="F3FE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C5315"/>
    <w:multiLevelType w:val="hybridMultilevel"/>
    <w:tmpl w:val="018C9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204E3"/>
    <w:multiLevelType w:val="hybridMultilevel"/>
    <w:tmpl w:val="6BF073FC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11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41B69"/>
    <w:rsid w:val="0004422A"/>
    <w:rsid w:val="00047E37"/>
    <w:rsid w:val="00083CA2"/>
    <w:rsid w:val="000A591D"/>
    <w:rsid w:val="000C600D"/>
    <w:rsid w:val="000F0078"/>
    <w:rsid w:val="000F1BA7"/>
    <w:rsid w:val="001541CB"/>
    <w:rsid w:val="00156503"/>
    <w:rsid w:val="0019114B"/>
    <w:rsid w:val="0019790B"/>
    <w:rsid w:val="001A1C49"/>
    <w:rsid w:val="001C0070"/>
    <w:rsid w:val="001E1D6C"/>
    <w:rsid w:val="00214A8A"/>
    <w:rsid w:val="00226475"/>
    <w:rsid w:val="00226566"/>
    <w:rsid w:val="002303D2"/>
    <w:rsid w:val="00230D14"/>
    <w:rsid w:val="002478EF"/>
    <w:rsid w:val="00250771"/>
    <w:rsid w:val="00252A54"/>
    <w:rsid w:val="002713C7"/>
    <w:rsid w:val="0028020F"/>
    <w:rsid w:val="002859A6"/>
    <w:rsid w:val="00293BE8"/>
    <w:rsid w:val="00295A05"/>
    <w:rsid w:val="002B6845"/>
    <w:rsid w:val="002C61EC"/>
    <w:rsid w:val="002F4764"/>
    <w:rsid w:val="0030163B"/>
    <w:rsid w:val="00333651"/>
    <w:rsid w:val="0033467E"/>
    <w:rsid w:val="00340331"/>
    <w:rsid w:val="0035148E"/>
    <w:rsid w:val="0035198D"/>
    <w:rsid w:val="00352F6A"/>
    <w:rsid w:val="00353958"/>
    <w:rsid w:val="00356763"/>
    <w:rsid w:val="0035764B"/>
    <w:rsid w:val="00357A34"/>
    <w:rsid w:val="0036476A"/>
    <w:rsid w:val="003776CF"/>
    <w:rsid w:val="00384EAE"/>
    <w:rsid w:val="003A456C"/>
    <w:rsid w:val="003B4B23"/>
    <w:rsid w:val="003B7626"/>
    <w:rsid w:val="003C6403"/>
    <w:rsid w:val="003D68F6"/>
    <w:rsid w:val="003E6BFF"/>
    <w:rsid w:val="00407304"/>
    <w:rsid w:val="00416AF3"/>
    <w:rsid w:val="00434A9B"/>
    <w:rsid w:val="004350F4"/>
    <w:rsid w:val="00444E96"/>
    <w:rsid w:val="00447468"/>
    <w:rsid w:val="00450200"/>
    <w:rsid w:val="00466E43"/>
    <w:rsid w:val="0046753B"/>
    <w:rsid w:val="004C7D1D"/>
    <w:rsid w:val="004D7CFA"/>
    <w:rsid w:val="004F1A41"/>
    <w:rsid w:val="00502535"/>
    <w:rsid w:val="00571B42"/>
    <w:rsid w:val="0057714A"/>
    <w:rsid w:val="0058566B"/>
    <w:rsid w:val="005926FD"/>
    <w:rsid w:val="005A3A41"/>
    <w:rsid w:val="005C7743"/>
    <w:rsid w:val="005D2D9D"/>
    <w:rsid w:val="005E3FD7"/>
    <w:rsid w:val="006000AB"/>
    <w:rsid w:val="00603402"/>
    <w:rsid w:val="00603EF7"/>
    <w:rsid w:val="00655D13"/>
    <w:rsid w:val="00666E2B"/>
    <w:rsid w:val="00673253"/>
    <w:rsid w:val="006749E8"/>
    <w:rsid w:val="0069493D"/>
    <w:rsid w:val="006B3DE5"/>
    <w:rsid w:val="006D0003"/>
    <w:rsid w:val="006D3F38"/>
    <w:rsid w:val="006E2020"/>
    <w:rsid w:val="006F2CC2"/>
    <w:rsid w:val="006F72E7"/>
    <w:rsid w:val="00705272"/>
    <w:rsid w:val="00715175"/>
    <w:rsid w:val="00717656"/>
    <w:rsid w:val="00717BBE"/>
    <w:rsid w:val="007345AE"/>
    <w:rsid w:val="00750BBC"/>
    <w:rsid w:val="00750E89"/>
    <w:rsid w:val="007614C9"/>
    <w:rsid w:val="00763684"/>
    <w:rsid w:val="0076558A"/>
    <w:rsid w:val="00776801"/>
    <w:rsid w:val="00782BA0"/>
    <w:rsid w:val="007861E3"/>
    <w:rsid w:val="00790E82"/>
    <w:rsid w:val="0079787D"/>
    <w:rsid w:val="007C02AB"/>
    <w:rsid w:val="007C125B"/>
    <w:rsid w:val="007C3755"/>
    <w:rsid w:val="007C46E5"/>
    <w:rsid w:val="007C4D80"/>
    <w:rsid w:val="007D7743"/>
    <w:rsid w:val="007F1101"/>
    <w:rsid w:val="008111D2"/>
    <w:rsid w:val="008200EE"/>
    <w:rsid w:val="00820D62"/>
    <w:rsid w:val="008307D4"/>
    <w:rsid w:val="008427C2"/>
    <w:rsid w:val="00843A63"/>
    <w:rsid w:val="00856790"/>
    <w:rsid w:val="00857EF4"/>
    <w:rsid w:val="00864C38"/>
    <w:rsid w:val="00886BB1"/>
    <w:rsid w:val="00886CA8"/>
    <w:rsid w:val="008B1E96"/>
    <w:rsid w:val="008B3C2E"/>
    <w:rsid w:val="008B4426"/>
    <w:rsid w:val="008B6638"/>
    <w:rsid w:val="008D4659"/>
    <w:rsid w:val="008D6961"/>
    <w:rsid w:val="008E1E6E"/>
    <w:rsid w:val="008E3861"/>
    <w:rsid w:val="008E53B5"/>
    <w:rsid w:val="008F0226"/>
    <w:rsid w:val="00912BD0"/>
    <w:rsid w:val="0094113E"/>
    <w:rsid w:val="00970650"/>
    <w:rsid w:val="00982D1D"/>
    <w:rsid w:val="009A61C6"/>
    <w:rsid w:val="009C3B0B"/>
    <w:rsid w:val="009E0E40"/>
    <w:rsid w:val="009E3F08"/>
    <w:rsid w:val="009E72E3"/>
    <w:rsid w:val="009F7BDD"/>
    <w:rsid w:val="00A11235"/>
    <w:rsid w:val="00A2136F"/>
    <w:rsid w:val="00A41BD2"/>
    <w:rsid w:val="00A5187B"/>
    <w:rsid w:val="00A63282"/>
    <w:rsid w:val="00A823E1"/>
    <w:rsid w:val="00A82992"/>
    <w:rsid w:val="00A8594B"/>
    <w:rsid w:val="00A91A96"/>
    <w:rsid w:val="00A97479"/>
    <w:rsid w:val="00AA1B81"/>
    <w:rsid w:val="00AA518E"/>
    <w:rsid w:val="00AC226E"/>
    <w:rsid w:val="00AE3069"/>
    <w:rsid w:val="00B06CFA"/>
    <w:rsid w:val="00B25956"/>
    <w:rsid w:val="00B32CB8"/>
    <w:rsid w:val="00B333A8"/>
    <w:rsid w:val="00B34F3C"/>
    <w:rsid w:val="00B50F6F"/>
    <w:rsid w:val="00B54411"/>
    <w:rsid w:val="00B607B1"/>
    <w:rsid w:val="00B63587"/>
    <w:rsid w:val="00B7440E"/>
    <w:rsid w:val="00BE2220"/>
    <w:rsid w:val="00C00C65"/>
    <w:rsid w:val="00C017F3"/>
    <w:rsid w:val="00C01E0B"/>
    <w:rsid w:val="00C211CD"/>
    <w:rsid w:val="00C41928"/>
    <w:rsid w:val="00C42FFF"/>
    <w:rsid w:val="00C47C12"/>
    <w:rsid w:val="00C55212"/>
    <w:rsid w:val="00C5522A"/>
    <w:rsid w:val="00C57EE6"/>
    <w:rsid w:val="00C705F9"/>
    <w:rsid w:val="00C70AD9"/>
    <w:rsid w:val="00C87A43"/>
    <w:rsid w:val="00CA4D11"/>
    <w:rsid w:val="00CA5E57"/>
    <w:rsid w:val="00CB2014"/>
    <w:rsid w:val="00CB3056"/>
    <w:rsid w:val="00CC0AFC"/>
    <w:rsid w:val="00CD7F9E"/>
    <w:rsid w:val="00CE2B5C"/>
    <w:rsid w:val="00CF0637"/>
    <w:rsid w:val="00CF12D2"/>
    <w:rsid w:val="00CF7259"/>
    <w:rsid w:val="00D24CCC"/>
    <w:rsid w:val="00D37CF0"/>
    <w:rsid w:val="00D43069"/>
    <w:rsid w:val="00D50402"/>
    <w:rsid w:val="00D9532C"/>
    <w:rsid w:val="00DA40F4"/>
    <w:rsid w:val="00DD32C4"/>
    <w:rsid w:val="00DD37C1"/>
    <w:rsid w:val="00DF6C8A"/>
    <w:rsid w:val="00E01ABB"/>
    <w:rsid w:val="00E13159"/>
    <w:rsid w:val="00E2282A"/>
    <w:rsid w:val="00E43114"/>
    <w:rsid w:val="00E44E9E"/>
    <w:rsid w:val="00E47F03"/>
    <w:rsid w:val="00E573BE"/>
    <w:rsid w:val="00E67B36"/>
    <w:rsid w:val="00E829FB"/>
    <w:rsid w:val="00EA2EC5"/>
    <w:rsid w:val="00EA5730"/>
    <w:rsid w:val="00EB2E48"/>
    <w:rsid w:val="00EB4E81"/>
    <w:rsid w:val="00EB4F59"/>
    <w:rsid w:val="00EC78FC"/>
    <w:rsid w:val="00ED1DA9"/>
    <w:rsid w:val="00ED76AE"/>
    <w:rsid w:val="00EE5606"/>
    <w:rsid w:val="00EE7956"/>
    <w:rsid w:val="00EF3D38"/>
    <w:rsid w:val="00EF676F"/>
    <w:rsid w:val="00F30FDE"/>
    <w:rsid w:val="00F36723"/>
    <w:rsid w:val="00F454C2"/>
    <w:rsid w:val="00F57F94"/>
    <w:rsid w:val="00F75FA7"/>
    <w:rsid w:val="00F77E9F"/>
    <w:rsid w:val="00F835D9"/>
    <w:rsid w:val="00F8779B"/>
    <w:rsid w:val="00FB4FF1"/>
    <w:rsid w:val="00FC1A5E"/>
    <w:rsid w:val="00FC3247"/>
    <w:rsid w:val="00FC4FB5"/>
    <w:rsid w:val="00FC7D22"/>
    <w:rsid w:val="00FF36E0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4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B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character" w:styleId="af2">
    <w:name w:val="annotation reference"/>
    <w:basedOn w:val="a1"/>
    <w:uiPriority w:val="99"/>
    <w:semiHidden/>
    <w:unhideWhenUsed/>
    <w:rsid w:val="00C55212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552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79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7956"/>
    <w:rPr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8B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">
    <w:name w:val="List Number"/>
    <w:basedOn w:val="a0"/>
    <w:rsid w:val="008B4426"/>
    <w:pPr>
      <w:numPr>
        <w:numId w:val="10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inedTerm">
    <w:name w:val="Defined Term"/>
    <w:basedOn w:val="af0"/>
    <w:qFormat/>
    <w:rsid w:val="008B4426"/>
    <w:pPr>
      <w:numPr>
        <w:numId w:val="11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0"/>
      <w:jc w:val="both"/>
    </w:pPr>
    <w:rPr>
      <w:rFonts w:ascii="Times New Roman" w:eastAsia="Tahoma" w:hAnsi="Times New Roman" w:cs="Tahoma"/>
      <w:sz w:val="20"/>
      <w:szCs w:val="20"/>
      <w:lang w:val="en-GB"/>
    </w:rPr>
  </w:style>
  <w:style w:type="paragraph" w:customStyle="1" w:styleId="DefinedTermList1">
    <w:name w:val="Defined Term List 1"/>
    <w:basedOn w:val="DefinedTerm"/>
    <w:qFormat/>
    <w:rsid w:val="008B4426"/>
    <w:pPr>
      <w:numPr>
        <w:ilvl w:val="1"/>
      </w:numPr>
      <w:tabs>
        <w:tab w:val="clear" w:pos="7038"/>
        <w:tab w:val="num" w:pos="360"/>
      </w:tabs>
    </w:pPr>
  </w:style>
  <w:style w:type="paragraph" w:customStyle="1" w:styleId="DefinedTermList2">
    <w:name w:val="Defined Term List 2"/>
    <w:basedOn w:val="DefinedTerm"/>
    <w:qFormat/>
    <w:rsid w:val="008B4426"/>
    <w:pPr>
      <w:numPr>
        <w:ilvl w:val="2"/>
      </w:numPr>
      <w:tabs>
        <w:tab w:val="clear" w:pos="7038"/>
        <w:tab w:val="num" w:pos="360"/>
      </w:tabs>
    </w:pPr>
  </w:style>
  <w:style w:type="paragraph" w:customStyle="1" w:styleId="Heading2Plain">
    <w:name w:val="Heading 2 Plain"/>
    <w:basedOn w:val="2"/>
    <w:next w:val="af0"/>
    <w:qFormat/>
    <w:rsid w:val="008B4426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Heading2PlainChar">
    <w:name w:val="Heading 2 Plain Char"/>
    <w:rsid w:val="008B4426"/>
    <w:rPr>
      <w:rFonts w:ascii="Times New Roman" w:hAnsi="Times New Roman"/>
      <w:bCs/>
      <w:lang w:val="en-GB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B4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B4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B44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99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character" w:styleId="af2">
    <w:name w:val="annotation reference"/>
    <w:basedOn w:val="a1"/>
    <w:uiPriority w:val="99"/>
    <w:semiHidden/>
    <w:unhideWhenUsed/>
    <w:rsid w:val="00C55212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5521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5521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795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7956"/>
    <w:rPr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rsid w:val="008B44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">
    <w:name w:val="List Number"/>
    <w:basedOn w:val="a0"/>
    <w:rsid w:val="008B4426"/>
    <w:pPr>
      <w:numPr>
        <w:numId w:val="10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inedTerm">
    <w:name w:val="Defined Term"/>
    <w:basedOn w:val="af0"/>
    <w:qFormat/>
    <w:rsid w:val="008B4426"/>
    <w:pPr>
      <w:numPr>
        <w:numId w:val="11"/>
      </w:numPr>
      <w:tabs>
        <w:tab w:val="num" w:pos="360"/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0"/>
      <w:jc w:val="both"/>
    </w:pPr>
    <w:rPr>
      <w:rFonts w:ascii="Times New Roman" w:eastAsia="Tahoma" w:hAnsi="Times New Roman" w:cs="Tahoma"/>
      <w:sz w:val="20"/>
      <w:szCs w:val="20"/>
      <w:lang w:val="en-GB"/>
    </w:rPr>
  </w:style>
  <w:style w:type="paragraph" w:customStyle="1" w:styleId="DefinedTermList1">
    <w:name w:val="Defined Term List 1"/>
    <w:basedOn w:val="DefinedTerm"/>
    <w:qFormat/>
    <w:rsid w:val="008B4426"/>
    <w:pPr>
      <w:numPr>
        <w:ilvl w:val="1"/>
      </w:numPr>
      <w:tabs>
        <w:tab w:val="clear" w:pos="7038"/>
        <w:tab w:val="num" w:pos="360"/>
      </w:tabs>
    </w:pPr>
  </w:style>
  <w:style w:type="paragraph" w:customStyle="1" w:styleId="DefinedTermList2">
    <w:name w:val="Defined Term List 2"/>
    <w:basedOn w:val="DefinedTerm"/>
    <w:qFormat/>
    <w:rsid w:val="008B4426"/>
    <w:pPr>
      <w:numPr>
        <w:ilvl w:val="2"/>
      </w:numPr>
      <w:tabs>
        <w:tab w:val="clear" w:pos="7038"/>
        <w:tab w:val="num" w:pos="360"/>
      </w:tabs>
    </w:pPr>
  </w:style>
  <w:style w:type="paragraph" w:customStyle="1" w:styleId="Heading2Plain">
    <w:name w:val="Heading 2 Plain"/>
    <w:basedOn w:val="2"/>
    <w:next w:val="af0"/>
    <w:qFormat/>
    <w:rsid w:val="008B4426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Heading2PlainChar">
    <w:name w:val="Heading 2 Plain Char"/>
    <w:rsid w:val="008B4426"/>
    <w:rPr>
      <w:rFonts w:ascii="Times New Roman" w:hAnsi="Times New Roman"/>
      <w:bCs/>
      <w:lang w:val="en-GB"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8B4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dcterms:created xsi:type="dcterms:W3CDTF">2023-08-25T05:29:00Z</dcterms:created>
  <dcterms:modified xsi:type="dcterms:W3CDTF">2023-08-25T05:29:00Z</dcterms:modified>
</cp:coreProperties>
</file>